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291"/>
        <w:gridCol w:w="1978"/>
        <w:gridCol w:w="1837"/>
      </w:tblGrid>
      <w:tr w:rsidR="00CD447B" w:rsidRPr="00B0053C" w:rsidTr="00AB6D88">
        <w:trPr>
          <w:cantSplit/>
          <w:trHeight w:val="277"/>
          <w:jc w:val="center"/>
        </w:trPr>
        <w:tc>
          <w:tcPr>
            <w:tcW w:w="2288" w:type="dxa"/>
            <w:vMerge w:val="restart"/>
            <w:vAlign w:val="center"/>
          </w:tcPr>
          <w:p w:rsidR="00CD447B" w:rsidRPr="00AB6D88" w:rsidRDefault="00AB6D88" w:rsidP="000961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096110">
              <w:rPr>
                <w:rFonts w:ascii="Times New Roman" w:eastAsia="Times New Roman" w:hAnsi="Times New Roman" w:cs="Times New Roman"/>
                <w:b/>
                <w:sz w:val="28"/>
                <w:szCs w:val="28"/>
              </w:rPr>
              <w:t>PHƯỜNG BỒNG SƠN</w:t>
            </w:r>
          </w:p>
        </w:tc>
        <w:tc>
          <w:tcPr>
            <w:tcW w:w="3291" w:type="dxa"/>
            <w:tcBorders>
              <w:bottom w:val="nil"/>
            </w:tcBorders>
            <w:vAlign w:val="center"/>
          </w:tcPr>
          <w:p w:rsidR="00CD447B" w:rsidRPr="00B0053C" w:rsidRDefault="00CD447B" w:rsidP="008A28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CD447B" w:rsidRPr="00B0053C" w:rsidRDefault="00CD447B"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CD447B" w:rsidRPr="00B0053C" w:rsidRDefault="00CD447B" w:rsidP="008A28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QT.GDBĐ.05</w:t>
            </w:r>
          </w:p>
        </w:tc>
      </w:tr>
      <w:tr w:rsidR="00CD447B" w:rsidRPr="00B0053C" w:rsidTr="00AB6D88">
        <w:trPr>
          <w:cantSplit/>
          <w:trHeight w:val="116"/>
          <w:jc w:val="center"/>
        </w:trPr>
        <w:tc>
          <w:tcPr>
            <w:tcW w:w="2288" w:type="dxa"/>
            <w:vMerge/>
          </w:tcPr>
          <w:p w:rsidR="00CD447B" w:rsidRPr="00B0053C" w:rsidRDefault="00CD447B" w:rsidP="008A2855">
            <w:pPr>
              <w:spacing w:after="0" w:line="240" w:lineRule="auto"/>
              <w:jc w:val="both"/>
              <w:rPr>
                <w:rFonts w:ascii="Times New Roman" w:eastAsia="Times New Roman" w:hAnsi="Times New Roman" w:cs="Times New Roman"/>
                <w:sz w:val="26"/>
                <w:szCs w:val="26"/>
              </w:rPr>
            </w:pPr>
          </w:p>
        </w:tc>
        <w:tc>
          <w:tcPr>
            <w:tcW w:w="3291" w:type="dxa"/>
            <w:vMerge w:val="restart"/>
            <w:tcBorders>
              <w:top w:val="nil"/>
            </w:tcBorders>
            <w:vAlign w:val="center"/>
          </w:tcPr>
          <w:p w:rsidR="00CD447B" w:rsidRPr="00FC3309" w:rsidRDefault="00CD447B" w:rsidP="008A2855">
            <w:pPr>
              <w:tabs>
                <w:tab w:val="left" w:pos="2913"/>
              </w:tabs>
              <w:spacing w:after="0" w:line="240" w:lineRule="auto"/>
              <w:jc w:val="center"/>
              <w:rPr>
                <w:rFonts w:ascii="Times New Roman" w:hAnsi="Times New Roman" w:cs="Times New Roman"/>
                <w:b/>
                <w:sz w:val="26"/>
                <w:szCs w:val="26"/>
              </w:rPr>
            </w:pPr>
            <w:r w:rsidRPr="00FC3309">
              <w:rPr>
                <w:rFonts w:ascii="Times New Roman" w:hAnsi="Times New Roman" w:cs="Times New Roman"/>
                <w:b/>
                <w:sz w:val="26"/>
                <w:szCs w:val="26"/>
              </w:rPr>
              <w:t>ĐĂNG KÝ THẾ CHẤP DỰ ÁN ĐẦU TƯ XÂY DỰNG NHÀ Ở, NHÀ Ở HÌNH THÀNH TRONG TƯƠNG LAI</w:t>
            </w:r>
          </w:p>
        </w:tc>
        <w:tc>
          <w:tcPr>
            <w:tcW w:w="1978" w:type="dxa"/>
            <w:tcBorders>
              <w:right w:val="nil"/>
            </w:tcBorders>
          </w:tcPr>
          <w:p w:rsidR="00CD447B" w:rsidRPr="00B0053C" w:rsidRDefault="00CD447B"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CD447B" w:rsidRPr="00B0053C" w:rsidRDefault="000D3B7F" w:rsidP="000961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CD447B" w:rsidRPr="00B0053C" w:rsidTr="00AB6D88">
        <w:trPr>
          <w:cantSplit/>
          <w:trHeight w:val="116"/>
          <w:jc w:val="center"/>
        </w:trPr>
        <w:tc>
          <w:tcPr>
            <w:tcW w:w="2288" w:type="dxa"/>
            <w:vMerge/>
          </w:tcPr>
          <w:p w:rsidR="00CD447B" w:rsidRPr="00B0053C" w:rsidRDefault="00CD447B" w:rsidP="008A2855">
            <w:pPr>
              <w:spacing w:after="0" w:line="240" w:lineRule="auto"/>
              <w:jc w:val="both"/>
              <w:rPr>
                <w:rFonts w:ascii="Times New Roman" w:eastAsia="Times New Roman" w:hAnsi="Times New Roman" w:cs="Times New Roman"/>
                <w:sz w:val="20"/>
                <w:szCs w:val="20"/>
              </w:rPr>
            </w:pPr>
          </w:p>
        </w:tc>
        <w:tc>
          <w:tcPr>
            <w:tcW w:w="3291" w:type="dxa"/>
            <w:vMerge/>
            <w:tcBorders>
              <w:top w:val="nil"/>
            </w:tcBorders>
          </w:tcPr>
          <w:p w:rsidR="00CD447B" w:rsidRPr="00B0053C" w:rsidRDefault="00CD447B" w:rsidP="008A285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CD447B" w:rsidRPr="00B0053C" w:rsidRDefault="00CD447B"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CD447B" w:rsidRPr="00B0053C" w:rsidRDefault="000D3B7F" w:rsidP="00326D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CD447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690041" w:rsidRPr="00326D5A" w:rsidRDefault="00AF4E60" w:rsidP="00326D5A">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AB6D88" w:rsidRPr="00824E12" w:rsidTr="000D3B7F">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B6D88" w:rsidRPr="00824E12" w:rsidRDefault="00AB6D88" w:rsidP="00A613B7">
            <w:pPr>
              <w:widowControl w:val="0"/>
              <w:spacing w:before="120" w:after="120"/>
              <w:jc w:val="center"/>
              <w:rPr>
                <w:rFonts w:ascii="Times New Roman" w:eastAsia="Calibri" w:hAnsi="Times New Roman" w:cs="Times New Roman"/>
                <w:b/>
                <w:sz w:val="26"/>
                <w:szCs w:val="26"/>
                <w:lang w:val="nl-NL"/>
              </w:rPr>
            </w:pPr>
          </w:p>
          <w:p w:rsidR="00AB6D88" w:rsidRPr="00824E12" w:rsidRDefault="00AB6D88"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AB6D88" w:rsidRPr="00824E12" w:rsidRDefault="00AB6D88"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AB6D88" w:rsidRPr="00824E12" w:rsidTr="000D3B7F">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widowControl w:val="0"/>
              <w:spacing w:before="120" w:after="120"/>
              <w:jc w:val="center"/>
              <w:rPr>
                <w:rFonts w:ascii="Times New Roman" w:hAnsi="Times New Roman" w:cs="Times New Roman"/>
                <w:b/>
                <w:sz w:val="26"/>
                <w:szCs w:val="26"/>
              </w:rPr>
            </w:pPr>
          </w:p>
        </w:tc>
      </w:tr>
      <w:tr w:rsidR="00AB6D88" w:rsidRPr="00824E12" w:rsidTr="000D3B7F">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AB6D88"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0D3B7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0D3B7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6D88" w:rsidRPr="00824E12" w:rsidRDefault="000D3B7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0D3B7F">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D3B7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054D79">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AB6D88">
              <w:rPr>
                <w:rFonts w:ascii="Times New Roman" w:hAnsi="Times New Roman" w:cs="Times New Roman"/>
                <w:sz w:val="26"/>
                <w:szCs w:val="26"/>
              </w:rPr>
              <w:t xml:space="preserve">UBND </w:t>
            </w:r>
            <w:r w:rsidR="00054D79">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15129A">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D14235" w:rsidP="00D14235">
      <w:pPr>
        <w:tabs>
          <w:tab w:val="left" w:pos="-142"/>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sz w:val="26"/>
          <w:szCs w:val="26"/>
        </w:rPr>
        <w:t>Đ</w:t>
      </w:r>
      <w:r w:rsidRPr="00D14235">
        <w:rPr>
          <w:rFonts w:ascii="Times New Roman" w:hAnsi="Times New Roman" w:cs="Times New Roman"/>
          <w:sz w:val="26"/>
          <w:szCs w:val="26"/>
        </w:rPr>
        <w:t>ăng ký thế chấp dự án đầ</w:t>
      </w:r>
      <w:r>
        <w:rPr>
          <w:rFonts w:ascii="Times New Roman" w:hAnsi="Times New Roman" w:cs="Times New Roman"/>
          <w:sz w:val="26"/>
          <w:szCs w:val="26"/>
        </w:rPr>
        <w:t xml:space="preserve">u </w:t>
      </w:r>
      <w:r w:rsidRPr="00D14235">
        <w:rPr>
          <w:rFonts w:ascii="Times New Roman" w:hAnsi="Times New Roman" w:cs="Times New Roman"/>
          <w:sz w:val="26"/>
          <w:szCs w:val="26"/>
        </w:rPr>
        <w:t>tư xây dựng nhà ở, nhà ở hình thành trong tương lai</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15129A">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2A48BB" w:rsidRPr="002A48BB" w:rsidRDefault="00D14235" w:rsidP="002A48BB">
      <w:pPr>
        <w:pStyle w:val="ListParagraph"/>
        <w:spacing w:before="60" w:after="60"/>
        <w:ind w:left="0" w:firstLine="622"/>
        <w:jc w:val="both"/>
        <w:rPr>
          <w:rFonts w:ascii="Times New Roman" w:hAnsi="Times New Roman" w:cs="Times New Roman"/>
          <w:bCs/>
          <w:sz w:val="26"/>
          <w:szCs w:val="26"/>
          <w:lang w:val="nl-NL"/>
        </w:rPr>
      </w:pPr>
      <w:r w:rsidRPr="005021D8">
        <w:rPr>
          <w:rFonts w:ascii="Times New Roman" w:hAnsi="Times New Roman" w:cs="Times New Roman"/>
          <w:color w:val="000000"/>
          <w:sz w:val="26"/>
          <w:szCs w:val="26"/>
        </w:rPr>
        <w:t xml:space="preserve">Thủ tục này áp dụng đối với </w:t>
      </w:r>
      <w:r>
        <w:rPr>
          <w:rFonts w:ascii="Times New Roman" w:hAnsi="Times New Roman" w:cs="Times New Roman"/>
          <w:sz w:val="26"/>
          <w:szCs w:val="26"/>
        </w:rPr>
        <w:t>Đ</w:t>
      </w:r>
      <w:r w:rsidRPr="00D14235">
        <w:rPr>
          <w:rFonts w:ascii="Times New Roman" w:hAnsi="Times New Roman" w:cs="Times New Roman"/>
          <w:sz w:val="26"/>
          <w:szCs w:val="26"/>
        </w:rPr>
        <w:t>ăng ký thế chấp dự án đầ</w:t>
      </w:r>
      <w:r>
        <w:rPr>
          <w:rFonts w:ascii="Times New Roman" w:hAnsi="Times New Roman" w:cs="Times New Roman"/>
          <w:sz w:val="26"/>
          <w:szCs w:val="26"/>
        </w:rPr>
        <w:t xml:space="preserve">u </w:t>
      </w:r>
      <w:r w:rsidRPr="00D14235">
        <w:rPr>
          <w:rFonts w:ascii="Times New Roman" w:hAnsi="Times New Roman" w:cs="Times New Roman"/>
          <w:sz w:val="26"/>
          <w:szCs w:val="26"/>
        </w:rPr>
        <w:t>tư xây dựng nhà ở, nhà ở hình thành trong tương lai</w:t>
      </w:r>
      <w:r w:rsidRPr="005021D8">
        <w:rPr>
          <w:rFonts w:ascii="Times New Roman" w:hAnsi="Times New Roman" w:cs="Times New Roman"/>
          <w:color w:val="000000"/>
          <w:sz w:val="26"/>
          <w:szCs w:val="26"/>
        </w:rPr>
        <w:t>theo quy định của pháp luật.</w:t>
      </w:r>
    </w:p>
    <w:p w:rsidR="00E9784E" w:rsidRPr="005F75C4" w:rsidRDefault="00E9784E" w:rsidP="0015129A">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094FA2">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C21AD7" w:rsidRDefault="00094FA2" w:rsidP="00094FA2">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C21AD7">
        <w:rPr>
          <w:rFonts w:ascii="Times New Roman" w:hAnsi="Times New Roman" w:cs="Times New Roman"/>
          <w:sz w:val="26"/>
          <w:szCs w:val="26"/>
        </w:rPr>
        <w:t>Quyết định 1413/QĐ-UBND ngày 15/4/2</w:t>
      </w:r>
      <w:r w:rsidR="000D3B7F">
        <w:rPr>
          <w:rFonts w:ascii="Times New Roman" w:hAnsi="Times New Roman" w:cs="Times New Roman"/>
          <w:sz w:val="26"/>
          <w:szCs w:val="26"/>
        </w:rPr>
        <w:t>01</w:t>
      </w:r>
      <w:r w:rsidR="00C21AD7">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r w:rsidR="00D14235">
        <w:rPr>
          <w:rFonts w:ascii="Times New Roman" w:hAnsi="Times New Roman" w:cs="Times New Roman"/>
          <w:sz w:val="26"/>
          <w:szCs w:val="26"/>
        </w:rPr>
        <w:t>.</w:t>
      </w:r>
    </w:p>
    <w:p w:rsidR="00D14235" w:rsidRPr="00C21AD7" w:rsidRDefault="00D14235" w:rsidP="00094FA2">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15129A">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D14235" w:rsidRPr="005F75C4" w:rsidRDefault="00D14235" w:rsidP="00D14235">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15129A">
      <w:pPr>
        <w:pStyle w:val="ListParagraph"/>
        <w:numPr>
          <w:ilvl w:val="0"/>
          <w:numId w:val="2"/>
        </w:numPr>
        <w:tabs>
          <w:tab w:val="left" w:pos="851"/>
          <w:tab w:val="left" w:pos="993"/>
        </w:tabs>
        <w:spacing w:before="120" w:after="0" w:line="240" w:lineRule="auto"/>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992"/>
        <w:gridCol w:w="1276"/>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0D3B7F">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CD447B" w:rsidRDefault="00FB3562" w:rsidP="00CD447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0D3B7F">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p>
        </w:tc>
      </w:tr>
      <w:tr w:rsidR="00A9271A" w:rsidRPr="00985BA3" w:rsidTr="006804C3">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268" w:type="dxa"/>
            <w:gridSpan w:val="3"/>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276"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6804C3">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A9271A" w:rsidRDefault="00A9271A" w:rsidP="00A9271A">
            <w:pPr>
              <w:spacing w:before="120" w:after="120" w:line="288" w:lineRule="auto"/>
              <w:ind w:firstLine="317"/>
              <w:jc w:val="both"/>
              <w:rPr>
                <w:rFonts w:ascii="Times New Roman" w:hAnsi="Times New Roman" w:cs="Times New Roman"/>
                <w:b/>
                <w:sz w:val="26"/>
                <w:szCs w:val="26"/>
              </w:rPr>
            </w:pPr>
            <w:r w:rsidRPr="00A9271A">
              <w:rPr>
                <w:rFonts w:ascii="Times New Roman" w:hAnsi="Times New Roman" w:cs="Times New Roman"/>
                <w:color w:val="000000"/>
                <w:sz w:val="26"/>
                <w:szCs w:val="26"/>
                <w:shd w:val="clear" w:color="auto" w:fill="FFFFFF"/>
              </w:rPr>
              <w:t>Phiếu</w:t>
            </w:r>
            <w:r w:rsidRPr="00A9271A">
              <w:rPr>
                <w:rFonts w:ascii="Times New Roman" w:hAnsi="Times New Roman" w:cs="Times New Roman"/>
                <w:color w:val="000000"/>
                <w:sz w:val="26"/>
                <w:szCs w:val="26"/>
                <w:shd w:val="clear" w:color="auto" w:fill="FFFFFF"/>
                <w:lang w:val="vi-VN"/>
              </w:rPr>
              <w:t xml:space="preserve"> yêu cầu đăng ký thế chấp </w:t>
            </w:r>
            <w:r w:rsidR="00FC3309">
              <w:rPr>
                <w:rFonts w:ascii="Times New Roman" w:hAnsi="Times New Roman" w:cs="Times New Roman"/>
                <w:color w:val="000000"/>
                <w:sz w:val="26"/>
                <w:szCs w:val="26"/>
                <w:shd w:val="clear" w:color="auto" w:fill="FFFFFF"/>
              </w:rPr>
              <w:t>(</w:t>
            </w:r>
            <w:r w:rsidR="00D14235" w:rsidRPr="00091E8C">
              <w:rPr>
                <w:rFonts w:ascii="Times New Roman" w:hAnsi="Times New Roman" w:cs="Times New Roman"/>
                <w:b/>
                <w:color w:val="000000"/>
                <w:sz w:val="26"/>
                <w:szCs w:val="26"/>
                <w:shd w:val="clear" w:color="auto" w:fill="FFFFFF"/>
              </w:rPr>
              <w:t>BM.</w:t>
            </w:r>
            <w:r w:rsidR="00D14235">
              <w:rPr>
                <w:rFonts w:ascii="Times New Roman" w:hAnsi="Times New Roman" w:cs="Times New Roman"/>
                <w:b/>
                <w:color w:val="000000"/>
                <w:sz w:val="26"/>
                <w:szCs w:val="26"/>
                <w:shd w:val="clear" w:color="auto" w:fill="FFFFFF"/>
              </w:rPr>
              <w:t>QT.GDBĐ.05</w:t>
            </w:r>
            <w:r w:rsidRPr="00A9271A">
              <w:rPr>
                <w:rFonts w:ascii="Times New Roman" w:hAnsi="Times New Roman" w:cs="Times New Roman"/>
                <w:color w:val="000000"/>
                <w:sz w:val="26"/>
                <w:szCs w:val="26"/>
                <w:shd w:val="clear" w:color="auto" w:fill="FFFFFF"/>
              </w:rPr>
              <w:t>)</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6804C3">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3C3E57" w:rsidRDefault="003C3E57" w:rsidP="004C746B">
            <w:pPr>
              <w:spacing w:before="120" w:after="120" w:line="288" w:lineRule="auto"/>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rPr>
              <w:t>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6804C3">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3C3E57" w:rsidRDefault="003C3E57" w:rsidP="004C746B">
            <w:pPr>
              <w:spacing w:before="120" w:after="120" w:line="288" w:lineRule="auto"/>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lang w:val="vi-VN"/>
              </w:rPr>
              <w:t>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tải sản không đồng thời là người sử dụng đất; Văn bản ủy quyền trong trường hợp người yêu cầu đăng ký là người được ủy quyền hoặc văn bản ch</w:t>
            </w:r>
            <w:r w:rsidRPr="003C3E57">
              <w:rPr>
                <w:rFonts w:ascii="Times New Roman" w:hAnsi="Times New Roman" w:cs="Times New Roman"/>
                <w:color w:val="000000"/>
                <w:sz w:val="26"/>
                <w:szCs w:val="26"/>
                <w:shd w:val="clear" w:color="auto" w:fill="FFFFFF"/>
              </w:rPr>
              <w:t>ứ</w:t>
            </w:r>
            <w:r w:rsidRPr="003C3E57">
              <w:rPr>
                <w:rFonts w:ascii="Times New Roman" w:hAnsi="Times New Roman" w:cs="Times New Roman"/>
                <w:color w:val="000000"/>
                <w:sz w:val="26"/>
                <w:szCs w:val="26"/>
                <w:shd w:val="clear" w:color="auto" w:fill="FFFFFF"/>
                <w:lang w:val="vi-VN"/>
              </w:rPr>
              <w:t>ng minh tư cách đại diện trong trường hợp người ký Phiếu yêu cầu là người đại diện của bên thế chấp, bên nhận thế chấp;</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lastRenderedPageBreak/>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096110">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AB6D88">
              <w:rPr>
                <w:rFonts w:ascii="Times New Roman" w:hAnsi="Times New Roman" w:cs="Times New Roman"/>
                <w:sz w:val="26"/>
                <w:szCs w:val="26"/>
              </w:rPr>
              <w:t xml:space="preserve">UBND </w:t>
            </w:r>
            <w:r w:rsidR="00096110">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DD61D4" w:rsidRDefault="00DD61D4" w:rsidP="00D4658E">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Pr="00DD61D4">
              <w:rPr>
                <w:rFonts w:ascii="Times New Roman" w:hAnsi="Times New Roman" w:cs="Times New Roman"/>
                <w:color w:val="000000"/>
                <w:sz w:val="26"/>
                <w:szCs w:val="26"/>
                <w:shd w:val="clear" w:color="auto" w:fill="FFFFFF"/>
                <w:lang w:val="vi-VN"/>
              </w:rPr>
              <w:t>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w:t>
            </w:r>
            <w:r w:rsidRPr="00DD61D4">
              <w:rPr>
                <w:rFonts w:ascii="Times New Roman" w:hAnsi="Times New Roman" w:cs="Times New Roman"/>
                <w:color w:val="000000"/>
                <w:sz w:val="26"/>
                <w:szCs w:val="26"/>
                <w:shd w:val="clear" w:color="auto" w:fill="FFFFFF"/>
              </w:rPr>
              <w:t>ở </w:t>
            </w:r>
            <w:r w:rsidRPr="00DD61D4">
              <w:rPr>
                <w:rFonts w:ascii="Times New Roman" w:hAnsi="Times New Roman" w:cs="Times New Roman"/>
                <w:color w:val="000000"/>
                <w:sz w:val="26"/>
                <w:szCs w:val="26"/>
                <w:shd w:val="clear" w:color="auto" w:fill="FFFFFF"/>
                <w:lang w:val="vi-VN"/>
              </w:rPr>
              <w:t>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Bản vẽ thiết kế th</w:t>
            </w:r>
            <w:r w:rsidRPr="00DD61D4">
              <w:rPr>
                <w:rFonts w:ascii="Times New Roman" w:hAnsi="Times New Roman" w:cs="Times New Roman"/>
                <w:color w:val="000000"/>
                <w:sz w:val="26"/>
                <w:szCs w:val="26"/>
                <w:shd w:val="clear" w:color="auto" w:fill="FFFFFF"/>
              </w:rPr>
              <w:t>ể </w:t>
            </w:r>
            <w:r w:rsidRPr="00DD61D4">
              <w:rPr>
                <w:rFonts w:ascii="Times New Roman" w:hAnsi="Times New Roman" w:cs="Times New Roman"/>
                <w:color w:val="000000"/>
                <w:sz w:val="26"/>
                <w:szCs w:val="26"/>
                <w:shd w:val="clear" w:color="auto" w:fill="FFFFFF"/>
                <w:lang w:val="vi-VN"/>
              </w:rPr>
              <w:t>hiện được mặt bằng công trình của dự án hoặc mặt bằng của công trình xây dựng trong dự án đó trong trường hợp ch</w:t>
            </w:r>
            <w:r w:rsidRPr="00DD61D4">
              <w:rPr>
                <w:rFonts w:ascii="Times New Roman" w:hAnsi="Times New Roman" w:cs="Times New Roman"/>
                <w:color w:val="000000"/>
                <w:sz w:val="26"/>
                <w:szCs w:val="26"/>
                <w:shd w:val="clear" w:color="auto" w:fill="FFFFFF"/>
              </w:rPr>
              <w:t>ủ </w:t>
            </w:r>
            <w:r w:rsidRPr="00DD61D4">
              <w:rPr>
                <w:rFonts w:ascii="Times New Roman" w:hAnsi="Times New Roman" w:cs="Times New Roman"/>
                <w:color w:val="000000"/>
                <w:sz w:val="26"/>
                <w:szCs w:val="26"/>
                <w:shd w:val="clear" w:color="auto" w:fill="FFFFFF"/>
                <w:lang w:val="vi-VN"/>
              </w:rPr>
              <w:t>đầu tư thế chấp dự án đầu tư xây dựng nhà ở; Bản vẽ thiết kế thể hiện được mặt bằng công trình của dự án trong trường hợp chủ đầu tư thế chấp dự án đầu tư xây dựng công trình; Bản vẽ thiết kế thể hiện được mặt bằng của tài sản g</w:t>
            </w:r>
            <w:r w:rsidRPr="00DD61D4">
              <w:rPr>
                <w:rFonts w:ascii="Times New Roman" w:hAnsi="Times New Roman" w:cs="Times New Roman"/>
                <w:color w:val="000000"/>
                <w:sz w:val="26"/>
                <w:szCs w:val="26"/>
                <w:shd w:val="clear" w:color="auto" w:fill="FFFFFF"/>
              </w:rPr>
              <w:t>ắ</w:t>
            </w:r>
            <w:r w:rsidRPr="00DD61D4">
              <w:rPr>
                <w:rFonts w:ascii="Times New Roman" w:hAnsi="Times New Roman" w:cs="Times New Roman"/>
                <w:color w:val="000000"/>
                <w:sz w:val="26"/>
                <w:szCs w:val="26"/>
                <w:shd w:val="clear" w:color="auto" w:fill="FFFFFF"/>
                <w:lang w:val="vi-VN"/>
              </w:rPr>
              <w:t>n liền với đất đã được cơ quan có thẩm quyền phê duyệt trong trường hợp thế chấp tài sản gắn liền với đất hình thành trong tương lai là công trình xây dựng không phải nhà ở.</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D14235">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00D4658E">
              <w:rPr>
                <w:rFonts w:ascii="Times New Roman" w:hAnsi="Times New Roman" w:cs="Times New Roman"/>
                <w:sz w:val="26"/>
                <w:szCs w:val="26"/>
                <w:lang w:val="nl-NL"/>
              </w:rPr>
              <w:t xml:space="preserve">đăng ký thế chấp </w:t>
            </w:r>
            <w:r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D14235" w:rsidRPr="00985BA3" w:rsidTr="00A9271A">
        <w:tc>
          <w:tcPr>
            <w:tcW w:w="709" w:type="dxa"/>
            <w:tcBorders>
              <w:top w:val="single" w:sz="4" w:space="0" w:color="000000"/>
              <w:left w:val="single" w:sz="4" w:space="0" w:color="000000"/>
              <w:bottom w:val="single" w:sz="4" w:space="0" w:color="000000"/>
              <w:right w:val="single" w:sz="4" w:space="0" w:color="000000"/>
            </w:tcBorders>
          </w:tcPr>
          <w:p w:rsidR="00D14235" w:rsidRPr="00985BA3" w:rsidRDefault="00D14235" w:rsidP="008A2855">
            <w:pPr>
              <w:rPr>
                <w:rFonts w:ascii="Times New Roman" w:hAnsi="Times New Roman" w:cs="Times New Roman"/>
                <w:b/>
                <w:sz w:val="26"/>
                <w:szCs w:val="26"/>
              </w:rPr>
            </w:pPr>
            <w:r w:rsidRPr="00985BA3">
              <w:rPr>
                <w:rFonts w:ascii="Times New Roman" w:hAnsi="Times New Roman" w:cs="Times New Roman"/>
                <w:b/>
                <w:sz w:val="26"/>
                <w:szCs w:val="26"/>
              </w:rPr>
              <w:lastRenderedPageBreak/>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D14235" w:rsidRPr="00985BA3" w:rsidRDefault="00D14235" w:rsidP="008A285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D14235" w:rsidRPr="00985BA3" w:rsidRDefault="00D14235" w:rsidP="008A285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D14235" w:rsidRDefault="00D14235" w:rsidP="008A285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D14235" w:rsidRPr="00985BA3" w:rsidRDefault="00D14235" w:rsidP="008A285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14235" w:rsidRPr="00985BA3" w:rsidRDefault="00D14235" w:rsidP="008A2855">
            <w:pPr>
              <w:jc w:val="center"/>
              <w:rPr>
                <w:rFonts w:ascii="Times New Roman" w:hAnsi="Times New Roman" w:cs="Times New Roman"/>
                <w:sz w:val="26"/>
                <w:szCs w:val="26"/>
              </w:rPr>
            </w:pPr>
            <w:r>
              <w:rPr>
                <w:rFonts w:ascii="Times New Roman" w:hAnsi="Times New Roman" w:cs="Times New Roman"/>
                <w:sz w:val="26"/>
                <w:szCs w:val="26"/>
              </w:rPr>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D14235" w:rsidRPr="00985BA3" w:rsidRDefault="00D14235"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D14235" w:rsidRPr="00985BA3" w:rsidRDefault="00D14235" w:rsidP="008A285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D14235" w:rsidRPr="00985BA3" w:rsidRDefault="00D14235"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D14235" w:rsidRDefault="00D14235"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0D3B7F">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D14235" w:rsidRPr="005021D8" w:rsidRDefault="00D14235"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D14235" w:rsidRPr="00985BA3" w:rsidRDefault="00D14235" w:rsidP="008A285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6804C3">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D14235" w:rsidRPr="00985BA3" w:rsidRDefault="00D14235" w:rsidP="008A285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D14235"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D14235" w:rsidRPr="00985BA3" w:rsidRDefault="00D14235" w:rsidP="008A2855">
            <w:pPr>
              <w:jc w:val="center"/>
              <w:rPr>
                <w:rFonts w:ascii="Times New Roman" w:hAnsi="Times New Roman" w:cs="Times New Roman"/>
                <w:b/>
                <w:sz w:val="26"/>
                <w:szCs w:val="26"/>
              </w:rPr>
            </w:pPr>
            <w:r>
              <w:rPr>
                <w:rFonts w:ascii="Times New Roman" w:hAnsi="Times New Roman" w:cs="Times New Roman"/>
                <w:b/>
                <w:sz w:val="26"/>
                <w:szCs w:val="26"/>
              </w:rPr>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D14235" w:rsidRPr="00031AAA" w:rsidRDefault="00D14235" w:rsidP="008A285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w:t>
            </w:r>
            <w:r w:rsidRPr="00031AAA">
              <w:rPr>
                <w:rFonts w:ascii="Times New Roman" w:hAnsi="Times New Roman" w:cs="Times New Roman"/>
                <w:spacing w:val="-2"/>
                <w:sz w:val="26"/>
                <w:szCs w:val="26"/>
                <w:lang w:val="nl-NL"/>
              </w:rPr>
              <w:lastRenderedPageBreak/>
              <w:t>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D14235" w:rsidRPr="00031AAA" w:rsidRDefault="00D14235"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lastRenderedPageBreak/>
              <w:t>BPMC</w:t>
            </w:r>
            <w:r w:rsidRPr="00031AAA">
              <w:rPr>
                <w:rFonts w:ascii="Times New Roman" w:hAnsi="Times New Roman" w:cs="Times New Roman"/>
                <w:spacing w:val="-2"/>
                <w:sz w:val="26"/>
                <w:szCs w:val="26"/>
                <w:lang w:val="nl-NL"/>
              </w:rPr>
              <w:t xml:space="preserve"> cấp huyện</w:t>
            </w:r>
          </w:p>
          <w:p w:rsidR="00D14235" w:rsidRPr="00031AAA" w:rsidRDefault="00D14235"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 xml:space="preserve">Chi nhánh Văn phòng đăng </w:t>
            </w:r>
            <w:r w:rsidRPr="00031AAA">
              <w:rPr>
                <w:rFonts w:ascii="Times New Roman" w:hAnsi="Times New Roman" w:cs="Times New Roman"/>
                <w:spacing w:val="-2"/>
                <w:sz w:val="26"/>
                <w:szCs w:val="26"/>
                <w:lang w:val="nl-NL"/>
              </w:rPr>
              <w:lastRenderedPageBreak/>
              <w:t>ký đất đai</w:t>
            </w:r>
          </w:p>
        </w:tc>
        <w:tc>
          <w:tcPr>
            <w:tcW w:w="992" w:type="dxa"/>
            <w:tcBorders>
              <w:top w:val="single" w:sz="4" w:space="0" w:color="000000"/>
              <w:left w:val="single" w:sz="4" w:space="0" w:color="000000"/>
              <w:bottom w:val="single" w:sz="4" w:space="0" w:color="000000"/>
              <w:right w:val="single" w:sz="4" w:space="0" w:color="000000"/>
            </w:tcBorders>
          </w:tcPr>
          <w:p w:rsidR="00D14235" w:rsidRDefault="00D14235" w:rsidP="008A2855">
            <w:pPr>
              <w:rPr>
                <w:rFonts w:ascii="Times New Roman" w:hAnsi="Times New Roman" w:cs="Times New Roman"/>
                <w:sz w:val="26"/>
                <w:szCs w:val="26"/>
              </w:rPr>
            </w:pPr>
            <w:r>
              <w:rPr>
                <w:rFonts w:ascii="Times New Roman" w:hAnsi="Times New Roman" w:cs="Times New Roman"/>
                <w:sz w:val="26"/>
                <w:szCs w:val="26"/>
              </w:rPr>
              <w:lastRenderedPageBreak/>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D14235" w:rsidRPr="00985BA3" w:rsidRDefault="00D14235" w:rsidP="008A285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D14235"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D14235" w:rsidRDefault="00D14235" w:rsidP="008A2855">
            <w:pPr>
              <w:jc w:val="center"/>
              <w:rPr>
                <w:rFonts w:ascii="Times New Roman" w:hAnsi="Times New Roman" w:cs="Times New Roman"/>
                <w:b/>
                <w:sz w:val="26"/>
                <w:szCs w:val="26"/>
              </w:rPr>
            </w:pPr>
            <w:r>
              <w:rPr>
                <w:rFonts w:ascii="Times New Roman" w:hAnsi="Times New Roman" w:cs="Times New Roman"/>
                <w:b/>
                <w:sz w:val="26"/>
                <w:szCs w:val="26"/>
              </w:rPr>
              <w:lastRenderedPageBreak/>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D14235" w:rsidRPr="00031AAA" w:rsidRDefault="00D14235" w:rsidP="008A285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D14235" w:rsidRPr="004A1356" w:rsidRDefault="00D14235" w:rsidP="008A2855">
            <w:pPr>
              <w:tabs>
                <w:tab w:val="left" w:pos="318"/>
              </w:tabs>
              <w:jc w:val="both"/>
              <w:rPr>
                <w:rFonts w:ascii="Times New Roman" w:hAnsi="Times New Roman" w:cs="Times New Roman"/>
                <w:sz w:val="26"/>
                <w:szCs w:val="26"/>
              </w:rPr>
            </w:pPr>
          </w:p>
          <w:p w:rsidR="00D14235" w:rsidRPr="00031AAA" w:rsidRDefault="00D14235" w:rsidP="008A285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14235" w:rsidRPr="00031AAA" w:rsidRDefault="00D14235" w:rsidP="008A285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D14235" w:rsidRDefault="00D14235"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D14235" w:rsidRPr="00985BA3" w:rsidRDefault="00D14235" w:rsidP="008A285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D14235" w:rsidRPr="00985BA3" w:rsidRDefault="00D14235" w:rsidP="008A285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6804C3">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D14235" w:rsidRPr="00985BA3" w:rsidRDefault="00D14235" w:rsidP="006804C3">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6804C3">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D14235" w:rsidRPr="00985BA3" w:rsidTr="004A1356">
        <w:tc>
          <w:tcPr>
            <w:tcW w:w="709" w:type="dxa"/>
            <w:tcBorders>
              <w:left w:val="single" w:sz="4" w:space="0" w:color="000000"/>
              <w:right w:val="single" w:sz="4" w:space="0" w:color="000000"/>
            </w:tcBorders>
          </w:tcPr>
          <w:p w:rsidR="00D14235" w:rsidRPr="00985BA3" w:rsidRDefault="00D14235" w:rsidP="008A2855">
            <w:pPr>
              <w:spacing w:before="60" w:after="60"/>
              <w:rPr>
                <w:rFonts w:ascii="Times New Roman" w:hAnsi="Times New Roman" w:cs="Times New Roman"/>
                <w:b/>
                <w:sz w:val="26"/>
                <w:szCs w:val="26"/>
              </w:rPr>
            </w:pPr>
            <w:r w:rsidRPr="00985BA3">
              <w:rPr>
                <w:rFonts w:ascii="Times New Roman" w:hAnsi="Times New Roman" w:cs="Times New Roman"/>
                <w:b/>
                <w:sz w:val="26"/>
                <w:szCs w:val="26"/>
              </w:rPr>
              <w:t>B5</w:t>
            </w:r>
          </w:p>
        </w:tc>
        <w:tc>
          <w:tcPr>
            <w:tcW w:w="3260" w:type="dxa"/>
            <w:tcBorders>
              <w:left w:val="single" w:sz="4" w:space="0" w:color="000000"/>
              <w:right w:val="single" w:sz="4" w:space="0" w:color="000000"/>
            </w:tcBorders>
          </w:tcPr>
          <w:p w:rsidR="00D14235" w:rsidRPr="00165319" w:rsidRDefault="00D14235" w:rsidP="008A285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D14235" w:rsidRPr="00985BA3" w:rsidRDefault="00D14235" w:rsidP="008A285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D14235" w:rsidRPr="00985BA3" w:rsidRDefault="00D14235" w:rsidP="008A285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4235" w:rsidRPr="00985BA3" w:rsidRDefault="00D14235" w:rsidP="008A285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3C65BF">
      <w:pPr>
        <w:pStyle w:val="BodyTextIndent"/>
        <w:numPr>
          <w:ilvl w:val="0"/>
          <w:numId w:val="2"/>
        </w:numPr>
        <w:tabs>
          <w:tab w:val="clear" w:pos="622"/>
          <w:tab w:val="left" w:pos="270"/>
          <w:tab w:val="num" w:pos="426"/>
        </w:tabs>
        <w:spacing w:after="0" w:line="276" w:lineRule="auto"/>
        <w:ind w:hanging="622"/>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71"/>
        <w:gridCol w:w="3492"/>
      </w:tblGrid>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6804C3">
            <w:pPr>
              <w:autoSpaceDE w:val="0"/>
              <w:autoSpaceDN w:val="0"/>
              <w:spacing w:before="60" w:after="60"/>
              <w:jc w:val="center"/>
              <w:rPr>
                <w:rFonts w:ascii="Times New Roman" w:hAnsi="Times New Roman" w:cs="Times New Roman"/>
                <w:b/>
                <w:sz w:val="26"/>
                <w:szCs w:val="26"/>
                <w:lang w:val="en-AU"/>
              </w:rPr>
            </w:pPr>
            <w:r w:rsidRPr="006804C3">
              <w:rPr>
                <w:rFonts w:ascii="Times New Roman" w:hAnsi="Times New Roman" w:cs="Times New Roman"/>
                <w:b/>
                <w:sz w:val="26"/>
                <w:szCs w:val="26"/>
                <w:lang w:val="en-AU"/>
              </w:rPr>
              <w:t>TT</w:t>
            </w:r>
          </w:p>
        </w:tc>
        <w:tc>
          <w:tcPr>
            <w:tcW w:w="4871" w:type="dxa"/>
            <w:tcBorders>
              <w:top w:val="single" w:sz="4" w:space="0" w:color="auto"/>
              <w:left w:val="single" w:sz="4" w:space="0" w:color="auto"/>
              <w:bottom w:val="single" w:sz="4" w:space="0" w:color="auto"/>
              <w:right w:val="single" w:sz="4" w:space="0" w:color="auto"/>
            </w:tcBorders>
          </w:tcPr>
          <w:p w:rsidR="006804C3" w:rsidRPr="006804C3" w:rsidRDefault="006804C3" w:rsidP="006804C3">
            <w:pPr>
              <w:autoSpaceDE w:val="0"/>
              <w:autoSpaceDN w:val="0"/>
              <w:spacing w:before="60" w:after="60"/>
              <w:jc w:val="center"/>
              <w:rPr>
                <w:rFonts w:ascii="Times New Roman" w:hAnsi="Times New Roman" w:cs="Times New Roman"/>
                <w:b/>
                <w:sz w:val="26"/>
                <w:szCs w:val="26"/>
                <w:lang w:val="en-AU"/>
              </w:rPr>
            </w:pPr>
            <w:r w:rsidRPr="006804C3">
              <w:rPr>
                <w:rFonts w:ascii="Times New Roman" w:hAnsi="Times New Roman" w:cs="Times New Roman"/>
                <w:b/>
                <w:sz w:val="26"/>
                <w:szCs w:val="26"/>
                <w:lang w:val="en-AU"/>
              </w:rPr>
              <w:t>Tên Biểu mẫu</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6804C3">
            <w:pPr>
              <w:autoSpaceDE w:val="0"/>
              <w:autoSpaceDN w:val="0"/>
              <w:spacing w:before="60" w:after="60"/>
              <w:jc w:val="center"/>
              <w:rPr>
                <w:rFonts w:ascii="Times New Roman" w:hAnsi="Times New Roman" w:cs="Times New Roman"/>
                <w:b/>
                <w:sz w:val="26"/>
                <w:szCs w:val="26"/>
                <w:lang w:val="en-AU"/>
              </w:rPr>
            </w:pPr>
            <w:r w:rsidRPr="006804C3">
              <w:rPr>
                <w:rFonts w:ascii="Times New Roman" w:hAnsi="Times New Roman" w:cs="Times New Roman"/>
                <w:b/>
                <w:sz w:val="26"/>
                <w:szCs w:val="26"/>
                <w:lang w:val="en-AU"/>
              </w:rPr>
              <w:t>Mã hiệu</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Phiếu yêu cầu đăng ký thế chấp</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val="en-AU"/>
              </w:rPr>
              <w:t>BM.QT.GDBĐ.05</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Giấy tiếp nhận hồ sơ và hẹn trả kết quả</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Mẫu số 01- Phụ lục 4-MHHT</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Phiếu yêu cầu bổ sung, hoàn thiện hồ sơ (nếu có)</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 xml:space="preserve">Mẫu số </w:t>
            </w:r>
            <w:r w:rsidR="000D3B7F">
              <w:rPr>
                <w:rFonts w:ascii="Times New Roman" w:hAnsi="Times New Roman" w:cs="Times New Roman"/>
                <w:sz w:val="26"/>
                <w:szCs w:val="26"/>
                <w:lang w:val="en-AU"/>
              </w:rPr>
              <w:t>01</w:t>
            </w:r>
            <w:r w:rsidRPr="006804C3">
              <w:rPr>
                <w:rFonts w:ascii="Times New Roman" w:hAnsi="Times New Roman" w:cs="Times New Roman"/>
                <w:sz w:val="26"/>
                <w:szCs w:val="26"/>
                <w:lang w:val="en-AU"/>
              </w:rPr>
              <w:t>- Phụ lục 4-MHHT</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Phiếu từ chối tiếp nhận hồ sơ (nếu có)</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Mẫu số 03- Phụ lục 4-MHHT</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Phiếu xin lỗi và hẹn ngày trả kết quả (nếu có)</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Mẫu số 04- Phụ lục 4-MHHT</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Phiếu kiểm soát quá trình giải quyết hồ sơ</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Mẫu số 05- Phụ lục 4-MHHT</w:t>
            </w:r>
          </w:p>
        </w:tc>
      </w:tr>
      <w:tr w:rsidR="006804C3" w:rsidRPr="006804C3" w:rsidTr="006804C3">
        <w:tc>
          <w:tcPr>
            <w:tcW w:w="709" w:type="dxa"/>
            <w:tcBorders>
              <w:top w:val="single" w:sz="4" w:space="0" w:color="auto"/>
              <w:left w:val="single" w:sz="4" w:space="0" w:color="auto"/>
              <w:bottom w:val="single" w:sz="4" w:space="0" w:color="auto"/>
              <w:right w:val="single" w:sz="4" w:space="0" w:color="auto"/>
            </w:tcBorders>
            <w:vAlign w:val="center"/>
          </w:tcPr>
          <w:p w:rsidR="006804C3" w:rsidRPr="006804C3" w:rsidRDefault="006804C3"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Sổ theo dõi hồ sơ</w:t>
            </w:r>
          </w:p>
        </w:tc>
        <w:tc>
          <w:tcPr>
            <w:tcW w:w="3492" w:type="dxa"/>
            <w:tcBorders>
              <w:top w:val="single" w:sz="4" w:space="0" w:color="auto"/>
              <w:left w:val="single" w:sz="4" w:space="0" w:color="auto"/>
              <w:bottom w:val="single" w:sz="4" w:space="0" w:color="auto"/>
              <w:right w:val="single" w:sz="4" w:space="0" w:color="auto"/>
            </w:tcBorders>
          </w:tcPr>
          <w:p w:rsidR="006804C3" w:rsidRPr="006804C3" w:rsidRDefault="006804C3" w:rsidP="00C5171C">
            <w:pPr>
              <w:autoSpaceDE w:val="0"/>
              <w:autoSpaceDN w:val="0"/>
              <w:spacing w:before="60" w:after="60"/>
              <w:rPr>
                <w:rFonts w:ascii="Times New Roman" w:hAnsi="Times New Roman" w:cs="Times New Roman"/>
                <w:sz w:val="26"/>
                <w:szCs w:val="26"/>
                <w:lang w:val="en-AU"/>
              </w:rPr>
            </w:pPr>
            <w:r w:rsidRPr="006804C3">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3C65BF">
      <w:pPr>
        <w:pStyle w:val="BodyTextIndent"/>
        <w:numPr>
          <w:ilvl w:val="0"/>
          <w:numId w:val="2"/>
        </w:numPr>
        <w:tabs>
          <w:tab w:val="clear" w:pos="622"/>
          <w:tab w:val="left" w:pos="270"/>
          <w:tab w:val="num" w:pos="426"/>
          <w:tab w:val="left" w:pos="720"/>
        </w:tabs>
        <w:spacing w:after="0" w:line="276" w:lineRule="auto"/>
        <w:ind w:hanging="622"/>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D14235" w:rsidRPr="0054142C" w:rsidTr="008A2855">
        <w:tc>
          <w:tcPr>
            <w:tcW w:w="633" w:type="dxa"/>
          </w:tcPr>
          <w:p w:rsidR="00D14235" w:rsidRPr="0054142C" w:rsidRDefault="00D14235"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D14235" w:rsidRPr="0054142C" w:rsidRDefault="00D14235"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D14235" w:rsidRPr="00165E4B" w:rsidRDefault="00D14235" w:rsidP="008A285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D14235" w:rsidRPr="0054142C" w:rsidTr="008A2855">
        <w:tc>
          <w:tcPr>
            <w:tcW w:w="633" w:type="dxa"/>
          </w:tcPr>
          <w:p w:rsidR="00D14235" w:rsidRPr="0054142C" w:rsidRDefault="00D14235"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D14235" w:rsidRPr="0054142C" w:rsidRDefault="00D14235"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D14235" w:rsidRPr="00165E4B" w:rsidRDefault="00D14235"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D14235" w:rsidRPr="0054142C" w:rsidTr="008A2855">
        <w:tc>
          <w:tcPr>
            <w:tcW w:w="633" w:type="dxa"/>
          </w:tcPr>
          <w:p w:rsidR="00D14235" w:rsidRPr="0054142C" w:rsidRDefault="00D14235"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D14235" w:rsidRPr="0054142C" w:rsidRDefault="00D14235"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D14235" w:rsidRPr="00165E4B" w:rsidRDefault="00D14235"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14235" w:rsidRPr="0054142C" w:rsidTr="008A2855">
        <w:tc>
          <w:tcPr>
            <w:tcW w:w="633" w:type="dxa"/>
          </w:tcPr>
          <w:p w:rsidR="00D14235" w:rsidRPr="0054142C" w:rsidRDefault="00D14235"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D14235" w:rsidRPr="0054142C" w:rsidRDefault="00D14235"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D14235" w:rsidRPr="00165E4B" w:rsidRDefault="00D14235"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D14235" w:rsidRPr="0054142C" w:rsidTr="008A2855">
        <w:tc>
          <w:tcPr>
            <w:tcW w:w="633" w:type="dxa"/>
          </w:tcPr>
          <w:p w:rsidR="00D14235" w:rsidRPr="0054142C" w:rsidRDefault="00D14235"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D14235" w:rsidRPr="0054142C" w:rsidRDefault="00D14235"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D14235" w:rsidRPr="00165E4B" w:rsidRDefault="00D14235"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14235" w:rsidRPr="0054142C" w:rsidTr="008A2855">
        <w:tc>
          <w:tcPr>
            <w:tcW w:w="633" w:type="dxa"/>
          </w:tcPr>
          <w:p w:rsidR="00D14235" w:rsidRPr="0054142C" w:rsidRDefault="00D14235"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D14235" w:rsidRPr="0054142C" w:rsidRDefault="00D14235"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D14235" w:rsidRPr="00165E4B" w:rsidRDefault="00D14235"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D14235" w:rsidRPr="0054142C" w:rsidTr="008A2855">
        <w:tc>
          <w:tcPr>
            <w:tcW w:w="633" w:type="dxa"/>
          </w:tcPr>
          <w:p w:rsidR="00D14235" w:rsidRPr="0054142C" w:rsidRDefault="00D14235"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D14235" w:rsidRPr="0054142C" w:rsidRDefault="00D14235"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D14235" w:rsidRPr="0054142C" w:rsidRDefault="00D14235" w:rsidP="008A2855">
            <w:pPr>
              <w:autoSpaceDE w:val="0"/>
              <w:autoSpaceDN w:val="0"/>
              <w:spacing w:before="120" w:after="120"/>
              <w:rPr>
                <w:rFonts w:ascii="Times New Roman" w:hAnsi="Times New Roman" w:cs="Times New Roman"/>
                <w:sz w:val="26"/>
                <w:szCs w:val="26"/>
                <w:lang w:val="nl-NL"/>
              </w:rPr>
            </w:pPr>
          </w:p>
        </w:tc>
      </w:tr>
      <w:tr w:rsidR="00D14235" w:rsidRPr="0054142C" w:rsidTr="008A2855">
        <w:tc>
          <w:tcPr>
            <w:tcW w:w="9180" w:type="dxa"/>
            <w:gridSpan w:val="3"/>
          </w:tcPr>
          <w:p w:rsidR="00D14235" w:rsidRPr="00165E4B" w:rsidRDefault="00D14235" w:rsidP="00096110">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AB6D88">
              <w:rPr>
                <w:rFonts w:ascii="Times New Roman" w:hAnsi="Times New Roman" w:cs="Times New Roman"/>
                <w:i/>
                <w:sz w:val="26"/>
                <w:szCs w:val="26"/>
                <w:lang w:val="en-AU"/>
              </w:rPr>
              <w:t xml:space="preserve">UBND </w:t>
            </w:r>
            <w:r w:rsidR="00096110">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9E3" w:rsidRDefault="003F09E3" w:rsidP="00B0053C">
      <w:pPr>
        <w:spacing w:after="0" w:line="240" w:lineRule="auto"/>
      </w:pPr>
      <w:r>
        <w:separator/>
      </w:r>
    </w:p>
  </w:endnote>
  <w:endnote w:type="continuationSeparator" w:id="1">
    <w:p w:rsidR="003F09E3" w:rsidRDefault="003F09E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C71E47">
    <w:pPr>
      <w:pStyle w:val="Footer"/>
      <w:rPr>
        <w:rFonts w:ascii="Times New Roman" w:hAnsi="Times New Roman" w:cs="Times New Roman"/>
        <w:color w:val="000000" w:themeColor="text1"/>
        <w:sz w:val="24"/>
        <w:szCs w:val="24"/>
      </w:rPr>
    </w:pPr>
    <w:r w:rsidRPr="00C71E4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C71E4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C71E47" w:rsidRPr="0028019E">
                  <w:rPr>
                    <w:rFonts w:ascii="Times New Roman" w:hAnsi="Times New Roman" w:cs="Times New Roman"/>
                    <w:color w:val="000000" w:themeColor="text1"/>
                    <w:sz w:val="24"/>
                    <w:szCs w:val="24"/>
                  </w:rPr>
                  <w:fldChar w:fldCharType="separate"/>
                </w:r>
                <w:r w:rsidR="000D3B7F">
                  <w:rPr>
                    <w:rFonts w:ascii="Times New Roman" w:hAnsi="Times New Roman" w:cs="Times New Roman"/>
                    <w:noProof/>
                    <w:color w:val="000000" w:themeColor="text1"/>
                    <w:sz w:val="24"/>
                    <w:szCs w:val="24"/>
                  </w:rPr>
                  <w:t>7</w:t>
                </w:r>
                <w:r w:rsidR="00C71E4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26D5A">
                  <w:rPr>
                    <w:rFonts w:ascii="Times New Roman" w:hAnsi="Times New Roman" w:cs="Times New Roman"/>
                    <w:color w:val="000000" w:themeColor="text1"/>
                    <w:sz w:val="24"/>
                    <w:szCs w:val="24"/>
                  </w:rPr>
                  <w:t>8</w:t>
                </w:r>
              </w:p>
            </w:txbxContent>
          </v:textbox>
          <w10:wrap anchorx="margin" anchory="margin"/>
        </v:shape>
      </w:pict>
    </w:r>
    <w:r w:rsidRPr="00C71E4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0D3B7F">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0D3B7F">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096110">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9E3" w:rsidRDefault="003F09E3" w:rsidP="00B0053C">
      <w:pPr>
        <w:spacing w:after="0" w:line="240" w:lineRule="auto"/>
      </w:pPr>
      <w:r>
        <w:separator/>
      </w:r>
    </w:p>
  </w:footnote>
  <w:footnote w:type="continuationSeparator" w:id="1">
    <w:p w:rsidR="003F09E3" w:rsidRDefault="003F09E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C71E47">
    <w:pPr>
      <w:pStyle w:val="Header"/>
    </w:pPr>
    <w:r w:rsidRPr="00C71E4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.0</w:t>
        </w:r>
        <w:r w:rsidR="00FC3309">
          <w:rPr>
            <w:rFonts w:ascii="Times New Roman" w:eastAsiaTheme="majorEastAsia" w:hAnsi="Times New Roman" w:cs="Times New Roman"/>
            <w:b/>
            <w:sz w:val="26"/>
            <w:szCs w:val="26"/>
          </w:rPr>
          <w:t>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141ED"/>
    <w:rsid w:val="00030F10"/>
    <w:rsid w:val="00031AAA"/>
    <w:rsid w:val="00033F18"/>
    <w:rsid w:val="0005362E"/>
    <w:rsid w:val="00054D79"/>
    <w:rsid w:val="00067D3B"/>
    <w:rsid w:val="0008023C"/>
    <w:rsid w:val="000915E9"/>
    <w:rsid w:val="00094FA2"/>
    <w:rsid w:val="00096110"/>
    <w:rsid w:val="000B6551"/>
    <w:rsid w:val="000D0365"/>
    <w:rsid w:val="000D3B7F"/>
    <w:rsid w:val="000D68F2"/>
    <w:rsid w:val="000E0E3A"/>
    <w:rsid w:val="000F312C"/>
    <w:rsid w:val="001203C9"/>
    <w:rsid w:val="00142620"/>
    <w:rsid w:val="0015129A"/>
    <w:rsid w:val="00161B17"/>
    <w:rsid w:val="0016364D"/>
    <w:rsid w:val="00164846"/>
    <w:rsid w:val="00165E1C"/>
    <w:rsid w:val="00166D8A"/>
    <w:rsid w:val="001B0523"/>
    <w:rsid w:val="001D0E18"/>
    <w:rsid w:val="001D4836"/>
    <w:rsid w:val="00245F07"/>
    <w:rsid w:val="00254221"/>
    <w:rsid w:val="00272662"/>
    <w:rsid w:val="0028019E"/>
    <w:rsid w:val="0028070E"/>
    <w:rsid w:val="002A48BB"/>
    <w:rsid w:val="002B66EF"/>
    <w:rsid w:val="002D6D74"/>
    <w:rsid w:val="002E2D26"/>
    <w:rsid w:val="002E4833"/>
    <w:rsid w:val="00307AF8"/>
    <w:rsid w:val="00310816"/>
    <w:rsid w:val="0032163D"/>
    <w:rsid w:val="00326D5A"/>
    <w:rsid w:val="003302EE"/>
    <w:rsid w:val="00344B42"/>
    <w:rsid w:val="00361388"/>
    <w:rsid w:val="003911CC"/>
    <w:rsid w:val="003C3E57"/>
    <w:rsid w:val="003C65BF"/>
    <w:rsid w:val="003E7F1A"/>
    <w:rsid w:val="003F09E3"/>
    <w:rsid w:val="003F1132"/>
    <w:rsid w:val="003F373B"/>
    <w:rsid w:val="004174E4"/>
    <w:rsid w:val="00427917"/>
    <w:rsid w:val="00431560"/>
    <w:rsid w:val="00432DEE"/>
    <w:rsid w:val="00434809"/>
    <w:rsid w:val="004379AB"/>
    <w:rsid w:val="00442E3B"/>
    <w:rsid w:val="004A1356"/>
    <w:rsid w:val="004C1DEA"/>
    <w:rsid w:val="004C205E"/>
    <w:rsid w:val="004C2A4F"/>
    <w:rsid w:val="004C746B"/>
    <w:rsid w:val="004D1DCE"/>
    <w:rsid w:val="004F48B5"/>
    <w:rsid w:val="004F4921"/>
    <w:rsid w:val="00527480"/>
    <w:rsid w:val="005275A7"/>
    <w:rsid w:val="00536808"/>
    <w:rsid w:val="0054142C"/>
    <w:rsid w:val="00563D46"/>
    <w:rsid w:val="005704FF"/>
    <w:rsid w:val="00571B3A"/>
    <w:rsid w:val="005A6E93"/>
    <w:rsid w:val="005B4392"/>
    <w:rsid w:val="005D7AAE"/>
    <w:rsid w:val="005E292E"/>
    <w:rsid w:val="005F75C4"/>
    <w:rsid w:val="00623CCD"/>
    <w:rsid w:val="0063020D"/>
    <w:rsid w:val="006529F4"/>
    <w:rsid w:val="00662166"/>
    <w:rsid w:val="00670A17"/>
    <w:rsid w:val="006804C3"/>
    <w:rsid w:val="00690041"/>
    <w:rsid w:val="006D3510"/>
    <w:rsid w:val="006E0065"/>
    <w:rsid w:val="006F0BAD"/>
    <w:rsid w:val="006F3D60"/>
    <w:rsid w:val="00710B94"/>
    <w:rsid w:val="00712703"/>
    <w:rsid w:val="00737006"/>
    <w:rsid w:val="00763C06"/>
    <w:rsid w:val="0079021A"/>
    <w:rsid w:val="007B1AF2"/>
    <w:rsid w:val="007B1B67"/>
    <w:rsid w:val="007C2C87"/>
    <w:rsid w:val="007E7C91"/>
    <w:rsid w:val="007F175F"/>
    <w:rsid w:val="0080020C"/>
    <w:rsid w:val="00824B3E"/>
    <w:rsid w:val="00883006"/>
    <w:rsid w:val="00890292"/>
    <w:rsid w:val="008D66C7"/>
    <w:rsid w:val="00903DF3"/>
    <w:rsid w:val="00905645"/>
    <w:rsid w:val="00913E20"/>
    <w:rsid w:val="009170BB"/>
    <w:rsid w:val="009177D2"/>
    <w:rsid w:val="00925DC0"/>
    <w:rsid w:val="00950790"/>
    <w:rsid w:val="009537F3"/>
    <w:rsid w:val="00985BA3"/>
    <w:rsid w:val="009C5CC0"/>
    <w:rsid w:val="009D18E7"/>
    <w:rsid w:val="009D4485"/>
    <w:rsid w:val="009E2DC4"/>
    <w:rsid w:val="009E5770"/>
    <w:rsid w:val="009E6554"/>
    <w:rsid w:val="009F6ECD"/>
    <w:rsid w:val="00A019E8"/>
    <w:rsid w:val="00A05BB8"/>
    <w:rsid w:val="00A23C67"/>
    <w:rsid w:val="00A25BE2"/>
    <w:rsid w:val="00A32D58"/>
    <w:rsid w:val="00A5076D"/>
    <w:rsid w:val="00A5513E"/>
    <w:rsid w:val="00A716E0"/>
    <w:rsid w:val="00A817DD"/>
    <w:rsid w:val="00A9271A"/>
    <w:rsid w:val="00AA3947"/>
    <w:rsid w:val="00AB6D88"/>
    <w:rsid w:val="00AD498A"/>
    <w:rsid w:val="00AF4E60"/>
    <w:rsid w:val="00B0053C"/>
    <w:rsid w:val="00B005A3"/>
    <w:rsid w:val="00B16EF4"/>
    <w:rsid w:val="00B2056C"/>
    <w:rsid w:val="00B32E1A"/>
    <w:rsid w:val="00B60387"/>
    <w:rsid w:val="00B63AF8"/>
    <w:rsid w:val="00BC10CF"/>
    <w:rsid w:val="00BC2D0A"/>
    <w:rsid w:val="00BC3444"/>
    <w:rsid w:val="00BE10A0"/>
    <w:rsid w:val="00BE75E1"/>
    <w:rsid w:val="00BF4E0F"/>
    <w:rsid w:val="00C21AD7"/>
    <w:rsid w:val="00C2302E"/>
    <w:rsid w:val="00C60F4F"/>
    <w:rsid w:val="00C67B16"/>
    <w:rsid w:val="00C71E47"/>
    <w:rsid w:val="00CA09AE"/>
    <w:rsid w:val="00CA56C8"/>
    <w:rsid w:val="00CA58D4"/>
    <w:rsid w:val="00CD447B"/>
    <w:rsid w:val="00CD72FD"/>
    <w:rsid w:val="00CF0C08"/>
    <w:rsid w:val="00CF1F21"/>
    <w:rsid w:val="00D10881"/>
    <w:rsid w:val="00D14235"/>
    <w:rsid w:val="00D42BA4"/>
    <w:rsid w:val="00D43F20"/>
    <w:rsid w:val="00D4658E"/>
    <w:rsid w:val="00D61F1E"/>
    <w:rsid w:val="00D62813"/>
    <w:rsid w:val="00D925E8"/>
    <w:rsid w:val="00DB757F"/>
    <w:rsid w:val="00DC2D91"/>
    <w:rsid w:val="00DD61D4"/>
    <w:rsid w:val="00DE3BBA"/>
    <w:rsid w:val="00E06B71"/>
    <w:rsid w:val="00E07072"/>
    <w:rsid w:val="00E07F9A"/>
    <w:rsid w:val="00E30F68"/>
    <w:rsid w:val="00E50461"/>
    <w:rsid w:val="00E60A44"/>
    <w:rsid w:val="00E67F64"/>
    <w:rsid w:val="00E70AA4"/>
    <w:rsid w:val="00E9784E"/>
    <w:rsid w:val="00EA438F"/>
    <w:rsid w:val="00ED3724"/>
    <w:rsid w:val="00ED3D77"/>
    <w:rsid w:val="00F042E5"/>
    <w:rsid w:val="00F10751"/>
    <w:rsid w:val="00F25906"/>
    <w:rsid w:val="00F279F5"/>
    <w:rsid w:val="00F30D61"/>
    <w:rsid w:val="00F85643"/>
    <w:rsid w:val="00FA1D1E"/>
    <w:rsid w:val="00FB3562"/>
    <w:rsid w:val="00FC3309"/>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26D5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326D5A"/>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247350111">
      <w:bodyDiv w:val="1"/>
      <w:marLeft w:val="0"/>
      <w:marRight w:val="0"/>
      <w:marTop w:val="0"/>
      <w:marBottom w:val="0"/>
      <w:divBdr>
        <w:top w:val="none" w:sz="0" w:space="0" w:color="auto"/>
        <w:left w:val="none" w:sz="0" w:space="0" w:color="auto"/>
        <w:bottom w:val="none" w:sz="0" w:space="0" w:color="auto"/>
        <w:right w:val="none" w:sz="0" w:space="0" w:color="auto"/>
      </w:divBdr>
    </w:div>
    <w:div w:id="462188934">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7869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63CAD"/>
    <w:rsid w:val="00166DC2"/>
    <w:rsid w:val="0017120C"/>
    <w:rsid w:val="00182194"/>
    <w:rsid w:val="001A4A66"/>
    <w:rsid w:val="00224EBD"/>
    <w:rsid w:val="002415D9"/>
    <w:rsid w:val="002B2A00"/>
    <w:rsid w:val="002D14AA"/>
    <w:rsid w:val="003C0FCA"/>
    <w:rsid w:val="003F38EF"/>
    <w:rsid w:val="00453150"/>
    <w:rsid w:val="00486D92"/>
    <w:rsid w:val="004F522D"/>
    <w:rsid w:val="005C6208"/>
    <w:rsid w:val="006057CD"/>
    <w:rsid w:val="00610140"/>
    <w:rsid w:val="00627B89"/>
    <w:rsid w:val="006618BD"/>
    <w:rsid w:val="006B432C"/>
    <w:rsid w:val="006E3709"/>
    <w:rsid w:val="00723EFF"/>
    <w:rsid w:val="007A6CC2"/>
    <w:rsid w:val="007C5486"/>
    <w:rsid w:val="007C68BE"/>
    <w:rsid w:val="008208F4"/>
    <w:rsid w:val="0086741B"/>
    <w:rsid w:val="008946BF"/>
    <w:rsid w:val="009163C7"/>
    <w:rsid w:val="00A95EC9"/>
    <w:rsid w:val="00AB7552"/>
    <w:rsid w:val="00B54E89"/>
    <w:rsid w:val="00B60B71"/>
    <w:rsid w:val="00B66F24"/>
    <w:rsid w:val="00BD4BE5"/>
    <w:rsid w:val="00BD72C1"/>
    <w:rsid w:val="00C0663D"/>
    <w:rsid w:val="00C76525"/>
    <w:rsid w:val="00CF1EDA"/>
    <w:rsid w:val="00D03C58"/>
    <w:rsid w:val="00D33EA4"/>
    <w:rsid w:val="00DF3954"/>
    <w:rsid w:val="00DF7DDE"/>
    <w:rsid w:val="00E1748F"/>
    <w:rsid w:val="00E645E0"/>
    <w:rsid w:val="00E679F9"/>
    <w:rsid w:val="00EF4DD9"/>
    <w:rsid w:val="00F171B1"/>
    <w:rsid w:val="00F6724B"/>
    <w:rsid w:val="00F72D16"/>
    <w:rsid w:val="00FA5CF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09A49-FFE8-44A7-BB8A-5F5E2429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110</cp:revision>
  <cp:lastPrinted>2019-02-22T07:07:00Z</cp:lastPrinted>
  <dcterms:created xsi:type="dcterms:W3CDTF">2019-02-21T09:12:00Z</dcterms:created>
  <dcterms:modified xsi:type="dcterms:W3CDTF">2021-07-02T09:55:00Z</dcterms:modified>
</cp:coreProperties>
</file>